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1：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凤阳县中医院门急诊医技住院综合楼</w:t>
      </w:r>
      <w:r>
        <w:rPr>
          <w:rFonts w:hint="eastAsia" w:ascii="宋体" w:hAnsi="宋体" w:eastAsia="宋体" w:cs="宋体"/>
          <w:sz w:val="24"/>
          <w:szCs w:val="24"/>
        </w:rPr>
        <w:t>PU棉门帘、PVC软帘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ind w:firstLine="480" w:firstLineChars="200"/>
        <w:jc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明细及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报价表</w:t>
      </w: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</w:p>
    <w:tbl>
      <w:tblPr>
        <w:tblStyle w:val="3"/>
        <w:tblW w:w="89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8"/>
        <w:gridCol w:w="765"/>
        <w:gridCol w:w="795"/>
        <w:gridCol w:w="750"/>
        <w:gridCol w:w="930"/>
        <w:gridCol w:w="720"/>
        <w:gridCol w:w="930"/>
        <w:gridCol w:w="1110"/>
        <w:gridCol w:w="11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高（m）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宽(m)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片宽(m)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PU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冬季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棉门帘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39.75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急诊旁通道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医学影像科旁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7.41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住院部电梯厅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住院部西侧门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7.11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消控室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145.68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PVC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夏季软门帘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急诊旁通道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3.024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影像中心旁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4.94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住院部电梯厅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住院部西侧门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4.266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消控室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5.346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91.766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铝合金龙骨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投标标价（大写）：</w:t>
            </w:r>
            <w:bookmarkStart w:id="0" w:name="_GoBack"/>
            <w:bookmarkEnd w:id="0"/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</w:p>
    <w:p>
      <w:pPr>
        <w:spacing w:line="360" w:lineRule="auto"/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投标人本次报价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为送到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招标人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指定地点的验收价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包含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但不限于人工费、材料费、机械费、施工措施费、管理费、规费、风险费、利润、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货物、运费、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税金、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安装、保养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一切相关费用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中标后，招标人不再调整合同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2.冬季棉门帘及夏季软门帘具体数据以实地测量为准，中标人需按具体数据进行制作及安装。</w:t>
      </w: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B37A6"/>
    <w:rsid w:val="71A614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djustRightInd w:val="0"/>
      <w:spacing w:line="360" w:lineRule="atLeast"/>
      <w:ind w:firstLine="482"/>
    </w:pPr>
    <w:rPr>
      <w:color w:val="auto"/>
      <w:sz w:val="24"/>
      <w:u w:val="none" w:color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2019-05-23T07:33:02Z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